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6840" w:h="11900" w:orient="landscape"/>
          <w:pgMar w:top="720" w:right="720" w:bottom="720" w:left="720" w:header="680" w:footer="680"/>
          <w:cols w:space="708" w:num="2" w:equalWidth="1"/>
          <w:titlePg w:val="1"/>
          <w:bidi w:val="0"/>
        </w:sectPr>
      </w:pPr>
      <w:r>
        <w:rPr>
          <w:rFonts w:ascii="Arial" w:hAnsi="Arial"/>
          <w:b w:val="1"/>
          <w:bCs w:val="1"/>
          <w:color w:val="000000"/>
          <w:sz w:val="40"/>
          <w:szCs w:val="40"/>
          <w:u w:color="000000"/>
          <w:rtl w:val="0"/>
        </w:rPr>
        <w:t xml:space="preserve"> 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HEALTH AND SAFETY POLI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3637279</wp:posOffset>
                </wp:positionV>
                <wp:extent cx="9000491" cy="685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491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174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4174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1417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The Risk Assessment process 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rtl w:val="0"/>
                                      <w:lang w:val="en-US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be 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on-going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dynamic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In other words, professional 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judgements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and decisions regarding safety will need to be made 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u w:val="single"/>
                                      <w:rtl w:val="0"/>
                                      <w:lang w:val="en-US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the activity. 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If the control measures aren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t sufficient, the activity must not proceed.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286.4pt;width:708.7pt;height:5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174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4174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1417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The Risk Assessment process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be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on-going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dynamic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In other words, professional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judgements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and decisions regarding safety will need to be made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during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the activity.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If the control measures aren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 sufficient, the activity must not proceed.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CY</w:t>
      </w:r>
    </w:p>
    <w:tbl>
      <w:tblPr>
        <w:tblW w:w="15388" w:type="dxa"/>
        <w:jc w:val="left"/>
        <w:tblInd w:w="108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d0ddef"/>
        <w:tblLayout w:type="fixed"/>
      </w:tblPr>
      <w:tblGrid>
        <w:gridCol w:w="7694"/>
        <w:gridCol w:w="7694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76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after="16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This is the statement of general policy and arrangements for:</w:t>
            </w:r>
          </w:p>
        </w:tc>
        <w:tc>
          <w:tcPr>
            <w:tcW w:type="dxa" w:w="7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Carne Catering 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76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Overall and final responsibility for health and safety is that of:</w:t>
            </w:r>
          </w:p>
        </w:tc>
        <w:tc>
          <w:tcPr>
            <w:tcW w:type="dxa" w:w="7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Kyle De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Ath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76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Day-to-day responsibility is delegated to:</w:t>
            </w:r>
          </w:p>
        </w:tc>
        <w:tc>
          <w:tcPr>
            <w:tcW w:type="dxa" w:w="7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Kyle De'ath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b w:val="1"/>
          <w:bCs w:val="1"/>
          <w:sz w:val="36"/>
          <w:szCs w:val="36"/>
        </w:rPr>
      </w:pPr>
    </w:p>
    <w:tbl>
      <w:tblPr>
        <w:tblW w:w="15388" w:type="dxa"/>
        <w:jc w:val="left"/>
        <w:tblInd w:w="108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d0ddef"/>
        <w:tblLayout w:type="fixed"/>
      </w:tblPr>
      <w:tblGrid>
        <w:gridCol w:w="8517"/>
        <w:gridCol w:w="6871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8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Signed: </w:t>
            </w:r>
          </w:p>
        </w:tc>
        <w:tc>
          <w:tcPr>
            <w:tcW w:type="dxa" w:w="6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Date: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 2016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8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Subject to review, monitoring and revision by: 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>Kyle De</w:t>
            </w:r>
            <w:r>
              <w:rPr>
                <w:rFonts w:ascii="Arial" w:hAnsi="Arial" w:hint="default"/>
                <w:u w:color="000000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>Ath</w:t>
            </w:r>
          </w:p>
        </w:tc>
        <w:tc>
          <w:tcPr>
            <w:tcW w:type="dxa" w:w="6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Every: 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event </w:t>
            </w:r>
          </w:p>
        </w:tc>
      </w:tr>
    </w:tbl>
    <w:p>
      <w:pPr>
        <w:pStyle w:val="Body"/>
      </w:pPr>
      <w:r>
        <w:rPr>
          <w:rFonts w:ascii="Arial" w:hAnsi="Arial"/>
          <w:rtl w:val="0"/>
          <w:lang w:val="en-US"/>
        </w:rPr>
        <w:t>.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RISK ASSESSMENT</w:t>
      </w:r>
    </w:p>
    <w:tbl>
      <w:tblPr>
        <w:tblW w:w="15368" w:type="dxa"/>
        <w:jc w:val="left"/>
        <w:tblInd w:w="108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d0ddef"/>
        <w:tblLayout w:type="fixed"/>
      </w:tblPr>
      <w:tblGrid>
        <w:gridCol w:w="1704"/>
        <w:gridCol w:w="2711"/>
        <w:gridCol w:w="4033"/>
        <w:gridCol w:w="2478"/>
        <w:gridCol w:w="1740"/>
        <w:gridCol w:w="1318"/>
        <w:gridCol w:w="1384"/>
      </w:tblGrid>
      <w:tr>
        <w:tblPrEx>
          <w:shd w:val="clear" w:color="auto" w:fill="d0ddef"/>
        </w:tblPrEx>
        <w:trPr>
          <w:trHeight w:val="521" w:hRule="atLeast"/>
        </w:trPr>
        <w:tc>
          <w:tcPr>
            <w:tcW w:type="dxa" w:w="17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What are the hazards?</w:t>
            </w:r>
          </w:p>
        </w:tc>
        <w:tc>
          <w:tcPr>
            <w:tcW w:type="dxa" w:w="271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Who might be harmed and how?</w:t>
            </w:r>
          </w:p>
        </w:tc>
        <w:tc>
          <w:tcPr>
            <w:tcW w:type="dxa" w:w="403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What is already being done to minimise risk?</w:t>
            </w:r>
          </w:p>
        </w:tc>
        <w:tc>
          <w:tcPr>
            <w:tcW w:type="dxa" w:w="24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Further suggested precautions?</w:t>
            </w:r>
          </w:p>
        </w:tc>
        <w:tc>
          <w:tcPr>
            <w:tcW w:type="dxa" w:w="17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Supervised by whom?</w:t>
            </w:r>
          </w:p>
        </w:tc>
        <w:tc>
          <w:tcPr>
            <w:tcW w:type="dxa" w:w="13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To be actioned by</w:t>
            </w:r>
          </w:p>
        </w:tc>
        <w:tc>
          <w:tcPr>
            <w:tcW w:type="dxa" w:w="138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Action completed</w:t>
            </w:r>
          </w:p>
        </w:tc>
      </w:tr>
      <w:tr>
        <w:tblPrEx>
          <w:shd w:val="clear" w:color="auto" w:fill="d0ddef"/>
        </w:tblPrEx>
        <w:trPr>
          <w:trHeight w:val="2653" w:hRule="atLeast"/>
        </w:trPr>
        <w:tc>
          <w:tcPr>
            <w:tcW w:type="dxa" w:w="17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Slips and trips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271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Staff/public may be injured if they trip over or slip on objects or spillages</w:t>
            </w:r>
          </w:p>
        </w:tc>
        <w:tc>
          <w:tcPr>
            <w:tcW w:type="dxa" w:w="403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Housekeeping kept to a good standard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Storage items kept away from stall once business is set up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Cooking equipment maintained to prevent leaks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Any leaks reported to owner as soon as identified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Spillages are cleaned by staff immediately to ensure a dry floor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All electrical cables are covered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Any dropped produce is cleaned by staff immediately</w:t>
            </w:r>
          </w:p>
        </w:tc>
        <w:tc>
          <w:tcPr>
            <w:tcW w:type="dxa" w:w="24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ind w:left="57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Ensure suitable footwear is worn by staff to prevent falls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174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All staff to be monitored by owner</w:t>
            </w:r>
          </w:p>
        </w:tc>
        <w:tc>
          <w:tcPr>
            <w:tcW w:type="dxa" w:w="131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83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Stall/gazebo</w:t>
            </w:r>
          </w:p>
        </w:tc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Staff/public may be injured tripping over or part of the stall/gazebo falling over</w:t>
            </w:r>
          </w:p>
        </w:tc>
        <w:tc>
          <w:tcPr>
            <w:tcW w:type="dxa" w:w="4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Staff trained in erecting stall/gazebo correctly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Stall/gazebo is held down by stall weights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4 12.5kg one for each leg.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loose threads or ropes are secured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Stall/gazebo is maintained to a good standard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Any damage is reported to owner as soon as identified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5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Stall inspected on a monthly basis for any deterioration or faults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Owner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Manual Handling</w:t>
            </w:r>
          </w:p>
        </w:tc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Staff may suffer injury from heavy lifting. Public may suffer injury through the dropping of stock or staff bumping into public whilst carrying stock</w:t>
            </w:r>
          </w:p>
        </w:tc>
        <w:tc>
          <w:tcPr>
            <w:tcW w:type="dxa" w:w="4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Training undertaken by staff for lifting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Loading and unloading is supervised to ensure public do not wander too close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Heavy items are attended by two or more staff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Boxes containing stock are maintained </w:t>
            </w:r>
          </w:p>
          <w:p>
            <w:pPr>
              <w:pStyle w:val="Body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28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Staff training ongoing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Owner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553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Subject to cold temperatures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Staff may be subject to cold, wet and icy weather being on an outdoor market</w:t>
            </w:r>
          </w:p>
        </w:tc>
        <w:tc>
          <w:tcPr>
            <w:tcW w:type="dxa" w:w="4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Staff are provided with branded jumpers and jackets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Health and safety policy is in place to determine whether the business will trade in bad weather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Staff are allowed to wear gloves, hats and scarves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5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Staff to be provided with anoraks for wet weather  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Owner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03" w:hRule="atLeast"/>
        </w:trPr>
        <w:tc>
          <w:tcPr>
            <w:tcW w:type="dxa" w:w="17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What are the hazards?</w:t>
            </w:r>
          </w:p>
        </w:tc>
        <w:tc>
          <w:tcPr>
            <w:tcW w:type="dxa" w:w="271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Who might be harmed and how?</w:t>
            </w:r>
          </w:p>
        </w:tc>
        <w:tc>
          <w:tcPr>
            <w:tcW w:type="dxa" w:w="403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What is already being done to minimise risk?</w:t>
            </w:r>
          </w:p>
        </w:tc>
        <w:tc>
          <w:tcPr>
            <w:tcW w:type="dxa" w:w="24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Further suggested precautions?</w:t>
            </w:r>
          </w:p>
        </w:tc>
        <w:tc>
          <w:tcPr>
            <w:tcW w:type="dxa" w:w="17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Supervised by whom?</w:t>
            </w:r>
          </w:p>
        </w:tc>
        <w:tc>
          <w:tcPr>
            <w:tcW w:type="dxa" w:w="13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To be actioned by</w:t>
            </w:r>
          </w:p>
        </w:tc>
        <w:tc>
          <w:tcPr>
            <w:tcW w:type="dxa" w:w="138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c9a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Action completed</w:t>
            </w:r>
          </w:p>
        </w:tc>
      </w:tr>
      <w:tr>
        <w:tblPrEx>
          <w:shd w:val="clear" w:color="auto" w:fill="d0ddef"/>
        </w:tblPrEx>
        <w:trPr>
          <w:trHeight w:val="4700" w:hRule="atLeast"/>
        </w:trPr>
        <w:tc>
          <w:tcPr>
            <w:tcW w:type="dxa" w:w="17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Extreme Weather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  <w:tc>
          <w:tcPr>
            <w:tcW w:type="dxa" w:w="271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Staff</w:t>
            </w:r>
          </w:p>
          <w:p>
            <w:pPr>
              <w:pStyle w:val="Default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hypothermia, cold related symptoms.</w:t>
            </w:r>
            <w:r>
              <w:rPr>
                <w:sz w:val="24"/>
                <w:szCs w:val="24"/>
                <w:rtl w:val="0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 xml:space="preserve">Impact injuries if windy </w:t>
            </w:r>
            <w:r>
              <w:rPr>
                <w:rFonts w:ascii="Times" w:cs="Times" w:hAnsi="Times" w:eastAsia="Times"/>
                <w:sz w:val="24"/>
                <w:szCs w:val="24"/>
                <w:rtl w:val="0"/>
              </w:rPr>
            </w:r>
          </w:p>
        </w:tc>
        <w:tc>
          <w:tcPr>
            <w:tcW w:type="dxa" w:w="403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after="240" w:line="280" w:lineRule="atLeast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Monitor weather forecast before event. Advise all to dress accordingly</w:t>
            </w:r>
          </w:p>
          <w:p>
            <w:pPr>
              <w:pStyle w:val="Default"/>
              <w:bidi w:val="0"/>
              <w:spacing w:after="240" w:line="280" w:lineRule="atLeast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stall is structurally safe by manufacturers guidelines with weights up to 60 mile an hour winds.</w:t>
            </w:r>
          </w:p>
          <w:p>
            <w:pPr>
              <w:pStyle w:val="Default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If weather becomes extreme during the event, activity will be cancelled or postponed until conditions improve</w:t>
            </w:r>
            <w:r>
              <w:rPr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4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after="240" w:line="280" w:lineRule="atLeast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If extreme weather, procedure in place to cancel event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decision will be made between the Event Coordinator and ASO as to the continuation of the event. If extreme weather is forecast (such as heavy wind, rain, thunder &amp; lightening) the event will be postponed.</w:t>
            </w:r>
            <w:r>
              <w:rPr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174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Owner</w:t>
            </w:r>
          </w:p>
        </w:tc>
        <w:tc>
          <w:tcPr>
            <w:tcW w:type="dxa" w:w="131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90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Staff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Participant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Physical or fatal injury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Drowning </w:t>
            </w:r>
          </w:p>
        </w:tc>
        <w:tc>
          <w:tcPr>
            <w:tcW w:type="dxa" w:w="4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Monitor weather forecast before event. Check tide times.</w:t>
            </w:r>
            <w:r>
              <w:rPr>
                <w:sz w:val="24"/>
                <w:szCs w:val="24"/>
                <w:rtl w:val="0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 xml:space="preserve">Children supervised at all times. Beach patrol informed of event. Communications to emergency services by mobile telephone in case of an emergency </w:t>
            </w:r>
            <w:r>
              <w:rPr>
                <w:rFonts w:ascii="Times" w:cs="Times" w:hAnsi="Times" w:eastAsia="Times"/>
                <w:sz w:val="24"/>
                <w:szCs w:val="24"/>
                <w:rtl w:val="0"/>
              </w:rPr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</w:rPr>
              <w:t>Cancel event in the case of extreme weather.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Owner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570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Insufficient Light</w:t>
            </w:r>
          </w:p>
        </w:tc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Staff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Participant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slips and trips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cuts and burns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Accidents and injuries</w:t>
            </w:r>
          </w:p>
        </w:tc>
        <w:tc>
          <w:tcPr>
            <w:tcW w:type="dxa" w:w="4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en-US"/>
              </w:rPr>
              <w:t xml:space="preserve">Lights will be provided for set up and break down when working in inadequate lighting conditions. 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en-US"/>
              </w:rPr>
              <w:t>If activities are to take place out of hours of daylight, lights will be provided for inside the gazebos.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</w:rPr>
              <w:t>Vehicle lights use when necessary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Owner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Use of electrical appliances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Staff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Electric shock and fire</w:t>
            </w:r>
          </w:p>
        </w:tc>
        <w:tc>
          <w:tcPr>
            <w:tcW w:type="dxa" w:w="4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 xml:space="preserve">Annual PAT testing </w:t>
            </w:r>
          </w:p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Authorised persons to use equipment only</w:t>
            </w:r>
          </w:p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Visual inspection conducted every use</w:t>
            </w:r>
          </w:p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5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if needed repair only by qualified persons</w:t>
            </w:r>
          </w:p>
          <w:p>
            <w:pPr>
              <w:pStyle w:val="Default"/>
              <w:bidi w:val="0"/>
              <w:ind w:left="5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Ongoing training on all appliances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Owner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763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FireFighting equipment failure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Staff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 xml:space="preserve">Participant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 xml:space="preserve">Spread of fire </w:t>
            </w:r>
          </w:p>
        </w:tc>
        <w:tc>
          <w:tcPr>
            <w:tcW w:type="dxa" w:w="4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All extinguishers checked and tested as required.</w:t>
            </w:r>
          </w:p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fire blankets checked for damage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5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Ongoing annual inspections</w:t>
            </w:r>
          </w:p>
          <w:p>
            <w:pPr>
              <w:pStyle w:val="Default"/>
              <w:bidi w:val="0"/>
              <w:ind w:left="5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Ongoing staff training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Owner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313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Moving Vehicles</w:t>
            </w:r>
          </w:p>
        </w:tc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 xml:space="preserve">staff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participant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Serious or fatal injury</w:t>
            </w:r>
          </w:p>
        </w:tc>
        <w:tc>
          <w:tcPr>
            <w:tcW w:type="dxa" w:w="4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Brief all staff of moving transport</w:t>
            </w:r>
          </w:p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 xml:space="preserve">Ensure all visitors are controlled </w:t>
            </w:r>
          </w:p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Pedestrian routs where applicable</w:t>
            </w:r>
          </w:p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Ensure very slow speed are maintained</w:t>
            </w:r>
          </w:p>
          <w:p>
            <w:pPr>
              <w:pStyle w:val="Default"/>
              <w:bidi w:val="0"/>
              <w:ind w:left="227" w:right="0" w:firstLine="0"/>
              <w:jc w:val="left"/>
              <w:rPr>
                <w:rtl w:val="0"/>
              </w:rPr>
            </w:pP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5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 xml:space="preserve">clear sing provided by event organiser and follow there  risk assessments and guidelines 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Owner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K.DE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ATH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40" w:lineRule="auto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widowControl w:val="0"/>
        <w:spacing w:line="240" w:lineRule="auto"/>
      </w:pPr>
      <w:r>
        <w:rPr>
          <w:rFonts w:ascii="Arial" w:cs="Arial" w:hAnsi="Arial" w:eastAsia="Arial"/>
          <w:b w:val="1"/>
          <w:bCs w:val="1"/>
          <w:sz w:val="36"/>
          <w:szCs w:val="36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continuous"/>
      <w:pgSz w:w="16840" w:h="11900" w:orient="landscape"/>
      <w:pgMar w:top="720" w:right="720" w:bottom="720" w:left="720" w:header="680" w:footer="68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44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07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07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44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ind w:left="293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13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3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3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73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3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33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5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